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9AB7" w14:textId="77777777" w:rsidR="006724DB" w:rsidRPr="00317ECB" w:rsidRDefault="006724DB" w:rsidP="008B78E2">
      <w:pPr>
        <w:pStyle w:val="PlainText"/>
        <w:jc w:val="center"/>
        <w:rPr>
          <w:rFonts w:ascii="Calibri" w:hAnsi="Calibri"/>
          <w:b/>
          <w:sz w:val="28"/>
          <w:szCs w:val="28"/>
          <w:lang w:val="en-US"/>
        </w:rPr>
      </w:pPr>
      <w:r w:rsidRPr="00317ECB">
        <w:rPr>
          <w:rFonts w:ascii="Calibri" w:hAnsi="Calibri"/>
          <w:b/>
          <w:sz w:val="28"/>
          <w:szCs w:val="28"/>
        </w:rPr>
        <w:t>Inclusion, Anti-bias and Diversity Policy</w:t>
      </w:r>
    </w:p>
    <w:p w14:paraId="27C1406A" w14:textId="77777777" w:rsidR="006724DB" w:rsidRPr="00317ECB" w:rsidRDefault="006724DB" w:rsidP="008B78E2">
      <w:pPr>
        <w:pStyle w:val="PlainText"/>
        <w:rPr>
          <w:rFonts w:asciiTheme="minorHAnsi" w:hAnsiTheme="minorHAnsi"/>
          <w:b/>
          <w:sz w:val="24"/>
          <w:szCs w:val="24"/>
          <w:lang w:val="en-US"/>
        </w:rPr>
      </w:pPr>
      <w:r w:rsidRPr="00317ECB">
        <w:rPr>
          <w:rFonts w:asciiTheme="minorHAnsi" w:hAnsiTheme="minorHAnsi"/>
          <w:b/>
          <w:sz w:val="24"/>
          <w:szCs w:val="24"/>
          <w:lang w:val="en-US"/>
        </w:rPr>
        <w:t>RATIONALE</w:t>
      </w:r>
    </w:p>
    <w:p w14:paraId="3BD0E57F" w14:textId="77777777" w:rsidR="006724DB" w:rsidRPr="00317ECB" w:rsidRDefault="006724DB" w:rsidP="008B78E2">
      <w:pPr>
        <w:pStyle w:val="PlainText"/>
        <w:rPr>
          <w:rFonts w:asciiTheme="minorHAnsi" w:hAnsiTheme="minorHAnsi"/>
          <w:b/>
          <w:sz w:val="24"/>
          <w:szCs w:val="24"/>
          <w:lang w:val="en-US"/>
        </w:rPr>
      </w:pPr>
    </w:p>
    <w:p w14:paraId="5800FB72"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Children are aware of differences in relation to race, ability and gender from an early age, beginning to understand that they are distinct individuals within a diverse social framework. </w:t>
      </w:r>
    </w:p>
    <w:p w14:paraId="38BB3B1A"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Children construct their knowledge of diversity by adapting perceptions of people in their immediate environment. Educators</w:t>
      </w:r>
      <w:r w:rsidR="006602A1" w:rsidRPr="00317ECB">
        <w:rPr>
          <w:rFonts w:asciiTheme="minorHAnsi" w:hAnsiTheme="minorHAnsi"/>
          <w:sz w:val="24"/>
          <w:szCs w:val="24"/>
        </w:rPr>
        <w:t xml:space="preserve"> working in children</w:t>
      </w:r>
      <w:r w:rsidRPr="00317ECB">
        <w:rPr>
          <w:rFonts w:asciiTheme="minorHAnsi" w:hAnsiTheme="minorHAnsi"/>
          <w:sz w:val="24"/>
          <w:szCs w:val="24"/>
        </w:rPr>
        <w:t xml:space="preserve"> </w:t>
      </w:r>
      <w:r w:rsidR="006602A1" w:rsidRPr="00317ECB">
        <w:rPr>
          <w:rFonts w:asciiTheme="minorHAnsi" w:hAnsiTheme="minorHAnsi"/>
          <w:sz w:val="24"/>
          <w:szCs w:val="24"/>
        </w:rPr>
        <w:t>Services</w:t>
      </w:r>
      <w:r w:rsidRPr="00317ECB">
        <w:rPr>
          <w:rFonts w:asciiTheme="minorHAnsi" w:hAnsiTheme="minorHAnsi"/>
          <w:sz w:val="24"/>
          <w:szCs w:val="24"/>
        </w:rPr>
        <w:t xml:space="preserve"> impact children’s developing attitudes towards diversity. Therefore it is essential that educators reflect and model positive approaches towards inclusion, diversity and provide an anti- bias program and environment. </w:t>
      </w:r>
    </w:p>
    <w:p w14:paraId="35798AD1" w14:textId="121577D2" w:rsidR="006724DB" w:rsidRPr="00317ECB" w:rsidRDefault="006724DB" w:rsidP="008B78E2">
      <w:pPr>
        <w:rPr>
          <w:rFonts w:asciiTheme="minorHAnsi" w:hAnsiTheme="minorHAnsi"/>
          <w:sz w:val="24"/>
          <w:szCs w:val="24"/>
        </w:rPr>
      </w:pPr>
      <w:r w:rsidRPr="00317ECB">
        <w:rPr>
          <w:rFonts w:asciiTheme="minorHAnsi" w:hAnsiTheme="minorHAnsi"/>
          <w:sz w:val="24"/>
          <w:szCs w:val="24"/>
        </w:rPr>
        <w:t>Everyone has the right to develop fully as an individual and to be treated on the basis of equality. This requires essential respect for the individual and individual difference. We can help children empower themselves by encouraging children to welcome differences and similarities in others.</w:t>
      </w:r>
    </w:p>
    <w:p w14:paraId="12CF38F1" w14:textId="77777777" w:rsidR="006724DB" w:rsidRPr="00317ECB" w:rsidRDefault="006724DB" w:rsidP="008B78E2">
      <w:pPr>
        <w:rPr>
          <w:rFonts w:asciiTheme="minorHAnsi" w:hAnsiTheme="minorHAnsi"/>
          <w:b/>
          <w:sz w:val="24"/>
          <w:szCs w:val="24"/>
        </w:rPr>
      </w:pPr>
      <w:r w:rsidRPr="00317ECB">
        <w:rPr>
          <w:rFonts w:asciiTheme="minorHAnsi" w:hAnsiTheme="minorHAnsi"/>
          <w:b/>
          <w:sz w:val="24"/>
          <w:szCs w:val="24"/>
        </w:rPr>
        <w:t>AIM</w:t>
      </w:r>
    </w:p>
    <w:p w14:paraId="32C824D5"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To be respectful and supportive of all children and families utilising KAZ Early Learning Centre, by acknowledging that children come from unique, diverse families and communities and by providing an environment where all educators, children and families feel welcome and comfortable. </w:t>
      </w:r>
    </w:p>
    <w:p w14:paraId="4339CA75"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To empower children to recognise that they are distinct individuals and to understand, similarities, differences and diversity in others, providing strategies and support to positively explore these concepts.</w:t>
      </w:r>
    </w:p>
    <w:p w14:paraId="1B18C47F"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To provide a program and an environment that is inclusive, and respects diversity and individual differences within Australian society without representing these in a tokenistic, stereotypical way.</w:t>
      </w:r>
    </w:p>
    <w:p w14:paraId="777081BF" w14:textId="5CA26EB5"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For educators to evaluate and challenge their own attitudes, biases, behaviours and interactions with peers, children and families. </w:t>
      </w:r>
    </w:p>
    <w:p w14:paraId="322E71BA" w14:textId="77777777" w:rsidR="006724DB" w:rsidRPr="00317ECB" w:rsidRDefault="006724DB" w:rsidP="008B78E2">
      <w:pPr>
        <w:rPr>
          <w:rFonts w:asciiTheme="minorHAnsi" w:hAnsiTheme="minorHAnsi"/>
          <w:b/>
          <w:sz w:val="24"/>
          <w:szCs w:val="24"/>
        </w:rPr>
      </w:pPr>
      <w:r w:rsidRPr="00317ECB">
        <w:rPr>
          <w:rFonts w:asciiTheme="minorHAnsi" w:hAnsiTheme="minorHAnsi"/>
          <w:b/>
          <w:sz w:val="24"/>
          <w:szCs w:val="24"/>
        </w:rPr>
        <w:t>PROCEDURE</w:t>
      </w:r>
    </w:p>
    <w:p w14:paraId="3ACDB16E"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KAZ Early Learning Centre programs are based on the theory that children learn through play. The educator’s role and the curriculum aims to facilitate an active role in the child’s learning by providing progressive programs that seek to counter societal discrimination on the basis of gender, race, religion or ability.</w:t>
      </w:r>
    </w:p>
    <w:p w14:paraId="001CA008"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In choosing educators, experienced early childhood professionals are selected for their qualifications and/or experience. KAZ Early Learning Centre supports the employment of educators from all cultural backgrounds and genders. </w:t>
      </w:r>
    </w:p>
    <w:p w14:paraId="653408ED"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Educators are encouraged to attend in-service training on inclusive practices, diversity and anti-bias programming and have ready access to specialised equipment, resources and appropriate support agencies to assist with their programming. </w:t>
      </w:r>
    </w:p>
    <w:p w14:paraId="18476AE1"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lastRenderedPageBreak/>
        <w:t>Educators will respect the rights and dignity of all children building a positive sense of self through reflecting on their individual strengths and abilities whilst developing positive relationships with all children within their care and encouraging respect for others.</w:t>
      </w:r>
    </w:p>
    <w:p w14:paraId="06DC087E"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Educators will provide a physical and emotional environment within the </w:t>
      </w:r>
      <w:r w:rsidR="006602A1" w:rsidRPr="00317ECB">
        <w:rPr>
          <w:rFonts w:asciiTheme="minorHAnsi" w:hAnsiTheme="minorHAnsi"/>
          <w:sz w:val="24"/>
          <w:szCs w:val="24"/>
        </w:rPr>
        <w:t>Service</w:t>
      </w:r>
      <w:r w:rsidRPr="00317ECB">
        <w:rPr>
          <w:rFonts w:asciiTheme="minorHAnsi" w:hAnsiTheme="minorHAnsi"/>
          <w:sz w:val="24"/>
          <w:szCs w:val="24"/>
        </w:rPr>
        <w:t xml:space="preserve"> that all children feel empowered to support.</w:t>
      </w:r>
    </w:p>
    <w:p w14:paraId="423E7994" w14:textId="77777777" w:rsidR="006724DB" w:rsidRPr="00317ECB" w:rsidRDefault="006724DB" w:rsidP="008B78E2">
      <w:pPr>
        <w:rPr>
          <w:rFonts w:asciiTheme="minorHAnsi" w:hAnsiTheme="minorHAnsi"/>
          <w:b/>
          <w:sz w:val="24"/>
          <w:szCs w:val="24"/>
        </w:rPr>
      </w:pPr>
      <w:r w:rsidRPr="00317ECB">
        <w:rPr>
          <w:rFonts w:asciiTheme="minorHAnsi" w:hAnsiTheme="minorHAnsi"/>
          <w:sz w:val="24"/>
          <w:szCs w:val="24"/>
        </w:rPr>
        <w:t xml:space="preserve">Whilst respecting the diverse beliefs and values that individual families bring to a </w:t>
      </w:r>
      <w:r w:rsidR="00523648" w:rsidRPr="00317ECB">
        <w:rPr>
          <w:rFonts w:asciiTheme="minorHAnsi" w:hAnsiTheme="minorHAnsi"/>
          <w:sz w:val="24"/>
          <w:szCs w:val="24"/>
        </w:rPr>
        <w:t>Service</w:t>
      </w:r>
      <w:r w:rsidRPr="00317ECB">
        <w:rPr>
          <w:rFonts w:asciiTheme="minorHAnsi" w:hAnsiTheme="minorHAnsi"/>
          <w:sz w:val="24"/>
          <w:szCs w:val="24"/>
        </w:rPr>
        <w:t>, educators provide an inclusive environment that represents diversity allowing children to explore and challenge their own sense of self and identity, accepting and appreciating diversity.</w:t>
      </w:r>
      <w:r w:rsidRPr="00317ECB">
        <w:rPr>
          <w:rFonts w:asciiTheme="minorHAnsi" w:hAnsiTheme="minorHAnsi"/>
          <w:b/>
          <w:sz w:val="24"/>
          <w:szCs w:val="24"/>
        </w:rPr>
        <w:t xml:space="preserve"> </w:t>
      </w:r>
    </w:p>
    <w:p w14:paraId="71CAF842"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Educators will regard all individuals equally and will provide equal opportunities for both boys and girls to develop their full potential regardless of gender. </w:t>
      </w:r>
    </w:p>
    <w:p w14:paraId="12A2DF7C"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Educators will show sensitivity for different cultures, child rearing practices and discuss the value of various learning experiences with parents/guardians empowering families as decision makers about their children’s learning and wellbeing.</w:t>
      </w:r>
    </w:p>
    <w:p w14:paraId="0D6453EB"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Educators will ensure that the environment, program and resources reflect and support inclusion, diversity and an anti bias approach that represents individual families utilising the </w:t>
      </w:r>
      <w:r w:rsidR="00523648" w:rsidRPr="00317ECB">
        <w:rPr>
          <w:rFonts w:asciiTheme="minorHAnsi" w:hAnsiTheme="minorHAnsi"/>
          <w:sz w:val="24"/>
          <w:szCs w:val="24"/>
        </w:rPr>
        <w:t xml:space="preserve">Service </w:t>
      </w:r>
      <w:r w:rsidRPr="00317ECB">
        <w:rPr>
          <w:rFonts w:asciiTheme="minorHAnsi" w:hAnsiTheme="minorHAnsi"/>
          <w:sz w:val="24"/>
          <w:szCs w:val="24"/>
        </w:rPr>
        <w:t xml:space="preserve">and the wider community. Resources will be inclusive and supportive of gender, culture and physical ability and will be available to children at all times within the program and not used as tokenistic representation. </w:t>
      </w:r>
    </w:p>
    <w:p w14:paraId="5CF416DE"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Educators will look beyond stereotypical practices when representing an inclusive environment recognising that within all cultures and family units’ attitudes, beliefs and values are individual to each family. To avoid stereotypes and tokenistic representation of different cultures, family structures, genders and abilities, educators will work with families to become familiar with their individual practices, beliefs and values.</w:t>
      </w:r>
    </w:p>
    <w:p w14:paraId="1B1E1AD7" w14:textId="299501C1"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Educators will be positive role models for children and families working in a team approach, to discuss their individual experiences, address challenges and to share knowledge; and reflect on the </w:t>
      </w:r>
      <w:r w:rsidR="00523648" w:rsidRPr="00317ECB">
        <w:rPr>
          <w:rFonts w:asciiTheme="minorHAnsi" w:hAnsiTheme="minorHAnsi"/>
          <w:sz w:val="24"/>
          <w:szCs w:val="24"/>
        </w:rPr>
        <w:t xml:space="preserve">Services </w:t>
      </w:r>
      <w:r w:rsidRPr="00317ECB">
        <w:rPr>
          <w:rFonts w:asciiTheme="minorHAnsi" w:hAnsiTheme="minorHAnsi"/>
          <w:sz w:val="24"/>
          <w:szCs w:val="24"/>
        </w:rPr>
        <w:t xml:space="preserve">practices, </w:t>
      </w:r>
      <w:r w:rsidR="00D7115D">
        <w:rPr>
          <w:rFonts w:asciiTheme="minorHAnsi" w:hAnsiTheme="minorHAnsi"/>
          <w:sz w:val="24"/>
          <w:szCs w:val="24"/>
        </w:rPr>
        <w:t>policies and goals to ensure an</w:t>
      </w:r>
      <w:r w:rsidRPr="00317ECB">
        <w:rPr>
          <w:rFonts w:asciiTheme="minorHAnsi" w:hAnsiTheme="minorHAnsi"/>
          <w:sz w:val="24"/>
          <w:szCs w:val="24"/>
        </w:rPr>
        <w:t xml:space="preserve"> inclusive, diverse and anti-bias environment.</w:t>
      </w:r>
    </w:p>
    <w:p w14:paraId="6CF87BED"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Children will be encouraged to accept others regardless of differences and understand that they have rights as individuals to have their thoughts, feelings and ideas heard and respected. </w:t>
      </w:r>
    </w:p>
    <w:p w14:paraId="13B71A6D"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Educators will challenge children’s bias and move towards understanding of diversity through the use of questions, resources and evaluating texts.</w:t>
      </w:r>
    </w:p>
    <w:p w14:paraId="727D8DA7" w14:textId="77777777" w:rsidR="006724DB" w:rsidRPr="00317ECB" w:rsidRDefault="006724DB" w:rsidP="008B78E2">
      <w:pPr>
        <w:rPr>
          <w:rFonts w:asciiTheme="minorHAnsi" w:hAnsiTheme="minorHAnsi"/>
          <w:sz w:val="24"/>
          <w:szCs w:val="24"/>
        </w:rPr>
      </w:pPr>
      <w:r w:rsidRPr="00317ECB">
        <w:rPr>
          <w:rFonts w:asciiTheme="minorHAnsi" w:hAnsiTheme="minorHAnsi"/>
          <w:sz w:val="24"/>
          <w:szCs w:val="24"/>
        </w:rPr>
        <w:t xml:space="preserve">All families will be respected and supported within the </w:t>
      </w:r>
      <w:r w:rsidR="00523648" w:rsidRPr="00317ECB">
        <w:rPr>
          <w:rFonts w:asciiTheme="minorHAnsi" w:hAnsiTheme="minorHAnsi"/>
          <w:sz w:val="24"/>
          <w:szCs w:val="24"/>
        </w:rPr>
        <w:t xml:space="preserve">Service </w:t>
      </w:r>
      <w:r w:rsidRPr="00317ECB">
        <w:rPr>
          <w:rFonts w:asciiTheme="minorHAnsi" w:hAnsiTheme="minorHAnsi"/>
          <w:sz w:val="24"/>
          <w:szCs w:val="24"/>
        </w:rPr>
        <w:t xml:space="preserve">to feel welcome and comfortable. Families will be encouraged to share their culture within the program, with educators understanding that everyone brings to the </w:t>
      </w:r>
      <w:r w:rsidR="00523648" w:rsidRPr="00317ECB">
        <w:rPr>
          <w:rFonts w:asciiTheme="minorHAnsi" w:hAnsiTheme="minorHAnsi"/>
          <w:sz w:val="24"/>
          <w:szCs w:val="24"/>
        </w:rPr>
        <w:t xml:space="preserve">Service </w:t>
      </w:r>
      <w:r w:rsidRPr="00317ECB">
        <w:rPr>
          <w:rFonts w:asciiTheme="minorHAnsi" w:hAnsiTheme="minorHAnsi"/>
          <w:sz w:val="24"/>
          <w:szCs w:val="24"/>
        </w:rPr>
        <w:t xml:space="preserve">a culture, (being that culture is learned in families and communities, belongs to a group of people and is a shared way of doing, believing and knowing).     </w:t>
      </w:r>
    </w:p>
    <w:p w14:paraId="55B03980" w14:textId="478C6181" w:rsidR="006724DB" w:rsidRPr="00317ECB" w:rsidRDefault="006724DB" w:rsidP="008B78E2">
      <w:pPr>
        <w:rPr>
          <w:rFonts w:asciiTheme="minorHAnsi" w:hAnsiTheme="minorHAnsi"/>
          <w:sz w:val="24"/>
          <w:szCs w:val="24"/>
        </w:rPr>
      </w:pPr>
      <w:r w:rsidRPr="00317ECB">
        <w:rPr>
          <w:rFonts w:asciiTheme="minorHAnsi" w:hAnsiTheme="minorHAnsi"/>
          <w:sz w:val="24"/>
          <w:szCs w:val="24"/>
        </w:rPr>
        <w:t>Where possible</w:t>
      </w:r>
      <w:r w:rsidR="005D5F89">
        <w:rPr>
          <w:rFonts w:asciiTheme="minorHAnsi" w:hAnsiTheme="minorHAnsi"/>
          <w:sz w:val="24"/>
          <w:szCs w:val="24"/>
        </w:rPr>
        <w:t xml:space="preserve"> and when needed</w:t>
      </w:r>
      <w:r w:rsidRPr="00317ECB">
        <w:rPr>
          <w:rFonts w:asciiTheme="minorHAnsi" w:hAnsiTheme="minorHAnsi"/>
          <w:sz w:val="24"/>
          <w:szCs w:val="24"/>
        </w:rPr>
        <w:t xml:space="preserve">, parent/guardian information will be translated, written and/or verbally into home languages. Families and children will be provided with access to specialised </w:t>
      </w:r>
      <w:r w:rsidRPr="00317ECB">
        <w:rPr>
          <w:rFonts w:asciiTheme="minorHAnsi" w:hAnsiTheme="minorHAnsi"/>
          <w:sz w:val="24"/>
          <w:szCs w:val="24"/>
        </w:rPr>
        <w:lastRenderedPageBreak/>
        <w:t xml:space="preserve">equipment, resources and appropriate support </w:t>
      </w:r>
      <w:r w:rsidR="007336B3" w:rsidRPr="00317ECB">
        <w:rPr>
          <w:rFonts w:asciiTheme="minorHAnsi" w:hAnsiTheme="minorHAnsi"/>
          <w:sz w:val="24"/>
          <w:szCs w:val="24"/>
        </w:rPr>
        <w:t xml:space="preserve">Services </w:t>
      </w:r>
      <w:r w:rsidRPr="00317ECB">
        <w:rPr>
          <w:rFonts w:asciiTheme="minorHAnsi" w:hAnsiTheme="minorHAnsi"/>
          <w:sz w:val="24"/>
          <w:szCs w:val="24"/>
        </w:rPr>
        <w:t xml:space="preserve">if required to assist them to settle into the </w:t>
      </w:r>
      <w:r w:rsidR="007336B3" w:rsidRPr="00317ECB">
        <w:rPr>
          <w:rFonts w:asciiTheme="minorHAnsi" w:hAnsiTheme="minorHAnsi"/>
          <w:sz w:val="24"/>
          <w:szCs w:val="24"/>
        </w:rPr>
        <w:t xml:space="preserve">Service </w:t>
      </w:r>
      <w:r w:rsidRPr="00317ECB">
        <w:rPr>
          <w:rFonts w:asciiTheme="minorHAnsi" w:hAnsiTheme="minorHAnsi"/>
          <w:sz w:val="24"/>
          <w:szCs w:val="24"/>
        </w:rPr>
        <w:t xml:space="preserve">and gain a feeling of belonging. </w:t>
      </w:r>
    </w:p>
    <w:p w14:paraId="649ACAD3" w14:textId="77777777" w:rsidR="007336B3" w:rsidRPr="00317ECB" w:rsidRDefault="007336B3" w:rsidP="007336B3">
      <w:pPr>
        <w:tabs>
          <w:tab w:val="left" w:pos="1134"/>
          <w:tab w:val="left" w:pos="1587"/>
        </w:tabs>
        <w:rPr>
          <w:rFonts w:asciiTheme="minorHAnsi" w:hAnsiTheme="minorHAnsi" w:cs="Arial"/>
          <w:snapToGrid w:val="0"/>
          <w:sz w:val="24"/>
          <w:szCs w:val="24"/>
        </w:rPr>
      </w:pPr>
      <w:r w:rsidRPr="00317ECB">
        <w:rPr>
          <w:rFonts w:asciiTheme="minorHAnsi" w:hAnsiTheme="minorHAnsi" w:cs="Arial"/>
          <w:snapToGrid w:val="0"/>
          <w:sz w:val="24"/>
          <w:szCs w:val="24"/>
        </w:rPr>
        <w:t>Educators/Staff will access support and information from KU Children’s Services Inclusion Support on a needs basis.</w:t>
      </w:r>
    </w:p>
    <w:p w14:paraId="7590518A" w14:textId="00C19601" w:rsidR="006724DB" w:rsidRPr="00317ECB" w:rsidRDefault="007336B3" w:rsidP="00317ECB">
      <w:pPr>
        <w:tabs>
          <w:tab w:val="left" w:pos="1134"/>
          <w:tab w:val="left" w:pos="1587"/>
        </w:tabs>
        <w:rPr>
          <w:rFonts w:asciiTheme="minorHAnsi" w:hAnsiTheme="minorHAnsi" w:cs="Arial"/>
          <w:b/>
          <w:snapToGrid w:val="0"/>
          <w:sz w:val="24"/>
          <w:szCs w:val="24"/>
        </w:rPr>
      </w:pPr>
      <w:r w:rsidRPr="00317ECB">
        <w:rPr>
          <w:rFonts w:asciiTheme="minorHAnsi" w:hAnsiTheme="minorHAnsi" w:cs="Arial"/>
          <w:b/>
          <w:snapToGrid w:val="0"/>
          <w:sz w:val="24"/>
          <w:szCs w:val="24"/>
        </w:rPr>
        <w:t>The Approved Provider/Nominated Supervisor will ensure that this policy is maintained and implemented at all times.</w:t>
      </w:r>
    </w:p>
    <w:tbl>
      <w:tblPr>
        <w:tblW w:w="96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2"/>
        <w:gridCol w:w="2172"/>
        <w:gridCol w:w="19"/>
        <w:gridCol w:w="2775"/>
        <w:gridCol w:w="1984"/>
      </w:tblGrid>
      <w:tr w:rsidR="006724DB" w:rsidRPr="005D5F89" w14:paraId="52CA3359" w14:textId="77777777" w:rsidTr="005D5F89">
        <w:tc>
          <w:tcPr>
            <w:tcW w:w="9642" w:type="dxa"/>
            <w:gridSpan w:val="5"/>
            <w:tcBorders>
              <w:top w:val="single" w:sz="4" w:space="0" w:color="auto"/>
              <w:bottom w:val="single" w:sz="4" w:space="0" w:color="auto"/>
            </w:tcBorders>
          </w:tcPr>
          <w:p w14:paraId="3C9524B4" w14:textId="77777777" w:rsidR="006724DB" w:rsidRPr="005D5F89" w:rsidRDefault="006724DB" w:rsidP="005D5F89">
            <w:pPr>
              <w:pStyle w:val="NoSpacing"/>
              <w:rPr>
                <w:b/>
                <w:sz w:val="18"/>
                <w:szCs w:val="18"/>
              </w:rPr>
            </w:pPr>
            <w:r w:rsidRPr="005D5F89">
              <w:rPr>
                <w:b/>
                <w:sz w:val="18"/>
                <w:szCs w:val="18"/>
              </w:rPr>
              <w:t>KAZ Early Learning Centre Related Policies and Procedures:</w:t>
            </w:r>
          </w:p>
          <w:p w14:paraId="40ADD3C0" w14:textId="77777777" w:rsidR="006724DB" w:rsidRPr="005D5F89" w:rsidRDefault="006724DB" w:rsidP="005D5F89">
            <w:pPr>
              <w:pStyle w:val="NoSpacing"/>
              <w:rPr>
                <w:sz w:val="18"/>
                <w:szCs w:val="18"/>
              </w:rPr>
            </w:pPr>
            <w:r w:rsidRPr="005D5F89">
              <w:rPr>
                <w:sz w:val="18"/>
                <w:szCs w:val="18"/>
              </w:rPr>
              <w:t>Education and Development Policy</w:t>
            </w:r>
          </w:p>
          <w:p w14:paraId="76586308" w14:textId="3D0B978B" w:rsidR="006724DB" w:rsidRPr="005D5F89" w:rsidRDefault="006724DB" w:rsidP="005D5F89">
            <w:pPr>
              <w:pStyle w:val="NoSpacing"/>
              <w:rPr>
                <w:sz w:val="18"/>
                <w:szCs w:val="18"/>
              </w:rPr>
            </w:pPr>
            <w:r w:rsidRPr="005D5F89">
              <w:rPr>
                <w:sz w:val="18"/>
                <w:szCs w:val="18"/>
              </w:rPr>
              <w:t>Collaborative Partnerships with Families Policy</w:t>
            </w:r>
          </w:p>
          <w:p w14:paraId="452DC2F2" w14:textId="77777777" w:rsidR="005D5F89" w:rsidRPr="005D5F89" w:rsidRDefault="005D5F89" w:rsidP="005D5F89">
            <w:pPr>
              <w:pStyle w:val="NoSpacing"/>
              <w:rPr>
                <w:b/>
                <w:sz w:val="18"/>
                <w:szCs w:val="18"/>
              </w:rPr>
            </w:pPr>
            <w:r w:rsidRPr="005D5F89">
              <w:rPr>
                <w:b/>
                <w:sz w:val="18"/>
                <w:szCs w:val="18"/>
              </w:rPr>
              <w:t>Related Statutory Obligations &amp; Considerations</w:t>
            </w:r>
          </w:p>
          <w:p w14:paraId="079C85DA" w14:textId="77777777" w:rsidR="005D5F89" w:rsidRPr="005D5F89" w:rsidRDefault="005D5F89" w:rsidP="005D5F89">
            <w:pPr>
              <w:pStyle w:val="NoSpacing"/>
              <w:rPr>
                <w:color w:val="000000"/>
                <w:sz w:val="18"/>
                <w:szCs w:val="18"/>
              </w:rPr>
            </w:pPr>
            <w:r w:rsidRPr="005D5F89">
              <w:rPr>
                <w:b/>
                <w:color w:val="000000"/>
                <w:sz w:val="18"/>
                <w:szCs w:val="18"/>
              </w:rPr>
              <w:t>Australian Children’s Education and Care Quality Authority (ACECQA)</w:t>
            </w:r>
            <w:r w:rsidRPr="005D5F89">
              <w:rPr>
                <w:color w:val="000000"/>
                <w:sz w:val="18"/>
                <w:szCs w:val="18"/>
              </w:rPr>
              <w:t xml:space="preserve"> http://www.acecqa.gov.au/</w:t>
            </w:r>
          </w:p>
          <w:p w14:paraId="1AC7A329" w14:textId="77777777" w:rsidR="005D5F89" w:rsidRPr="005D5F89" w:rsidRDefault="005D5F89" w:rsidP="005D5F89">
            <w:pPr>
              <w:pStyle w:val="NoSpacing"/>
              <w:rPr>
                <w:color w:val="000000"/>
                <w:sz w:val="18"/>
                <w:szCs w:val="18"/>
              </w:rPr>
            </w:pPr>
            <w:r w:rsidRPr="005D5F89">
              <w:rPr>
                <w:b/>
                <w:color w:val="000000"/>
                <w:sz w:val="18"/>
                <w:szCs w:val="18"/>
              </w:rPr>
              <w:t>Department of Education</w:t>
            </w:r>
            <w:r w:rsidRPr="005D5F89">
              <w:rPr>
                <w:color w:val="000000"/>
                <w:sz w:val="18"/>
                <w:szCs w:val="18"/>
              </w:rPr>
              <w:t xml:space="preserve"> - http://www.dec.nsw.gov.au/what-we-offer/regulation-and-accreditation/early-childhood-education-care </w:t>
            </w:r>
          </w:p>
          <w:p w14:paraId="0BF4D09C" w14:textId="74DB306E" w:rsidR="00D20F7C" w:rsidRDefault="005D5F89" w:rsidP="00D20F7C">
            <w:pPr>
              <w:rPr>
                <w:rFonts w:asciiTheme="minorHAnsi" w:hAnsiTheme="minorHAnsi" w:cs="Arial"/>
                <w:sz w:val="18"/>
                <w:szCs w:val="18"/>
              </w:rPr>
            </w:pPr>
            <w:r w:rsidRPr="005D5F89">
              <w:rPr>
                <w:b/>
                <w:color w:val="000000"/>
                <w:sz w:val="18"/>
                <w:szCs w:val="18"/>
              </w:rPr>
              <w:t>Early Years Learning Framework (EYLF)</w:t>
            </w:r>
            <w:r w:rsidRPr="005D5F89">
              <w:rPr>
                <w:color w:val="000000"/>
                <w:sz w:val="18"/>
                <w:szCs w:val="18"/>
              </w:rPr>
              <w:t xml:space="preserve"> - </w:t>
            </w:r>
            <w:hyperlink r:id="rId6" w:history="1">
              <w:r w:rsidR="00D20F7C" w:rsidRPr="006F1731">
                <w:rPr>
                  <w:rStyle w:val="Hyperlink"/>
                  <w:rFonts w:asciiTheme="minorHAnsi" w:hAnsiTheme="minorHAnsi" w:cs="Arial"/>
                  <w:sz w:val="18"/>
                  <w:szCs w:val="18"/>
                </w:rPr>
                <w:t>https://www.acecqa.gov.au/sites/default/files/2023-01/EYLF-2022-V2.0.pdf</w:t>
              </w:r>
            </w:hyperlink>
          </w:p>
          <w:p w14:paraId="60CE9D43" w14:textId="77777777" w:rsidR="00D20F7C" w:rsidRDefault="005D5F89" w:rsidP="00D20F7C">
            <w:pPr>
              <w:rPr>
                <w:b/>
                <w:color w:val="000000"/>
                <w:sz w:val="18"/>
                <w:szCs w:val="18"/>
              </w:rPr>
            </w:pPr>
            <w:r w:rsidRPr="005D5F89">
              <w:rPr>
                <w:b/>
                <w:color w:val="000000"/>
                <w:sz w:val="18"/>
                <w:szCs w:val="18"/>
              </w:rPr>
              <w:t xml:space="preserve">Education and Care </w:t>
            </w:r>
          </w:p>
          <w:p w14:paraId="114DB840" w14:textId="0097F640" w:rsidR="005D5F89" w:rsidRPr="00D20F7C" w:rsidRDefault="005D5F89" w:rsidP="00D20F7C">
            <w:pPr>
              <w:rPr>
                <w:rFonts w:asciiTheme="minorHAnsi" w:hAnsiTheme="minorHAnsi" w:cs="Arial"/>
                <w:b/>
                <w:sz w:val="18"/>
                <w:szCs w:val="18"/>
              </w:rPr>
            </w:pPr>
            <w:r w:rsidRPr="005D5F89">
              <w:rPr>
                <w:b/>
                <w:color w:val="000000"/>
                <w:sz w:val="18"/>
                <w:szCs w:val="18"/>
              </w:rPr>
              <w:t xml:space="preserve">Services National Regulations (Children (Education and Care Services) </w:t>
            </w:r>
          </w:p>
          <w:p w14:paraId="6DA22F3C" w14:textId="77777777" w:rsidR="005D5F89" w:rsidRPr="005D5F89" w:rsidRDefault="005D5F89" w:rsidP="005D5F89">
            <w:pPr>
              <w:pStyle w:val="NoSpacing"/>
              <w:rPr>
                <w:color w:val="000000"/>
                <w:sz w:val="18"/>
                <w:szCs w:val="18"/>
              </w:rPr>
            </w:pPr>
            <w:r w:rsidRPr="005D5F89">
              <w:rPr>
                <w:b/>
                <w:color w:val="000000"/>
                <w:sz w:val="18"/>
                <w:szCs w:val="18"/>
              </w:rPr>
              <w:t>National Law (NSW)</w:t>
            </w:r>
            <w:r w:rsidRPr="005D5F89">
              <w:rPr>
                <w:color w:val="000000"/>
                <w:sz w:val="18"/>
                <w:szCs w:val="18"/>
              </w:rPr>
              <w:t xml:space="preserve"> http://www.legislation.nsw.gov.au/#/view/regulation/2011/653</w:t>
            </w:r>
          </w:p>
          <w:p w14:paraId="01FB15A6" w14:textId="77777777" w:rsidR="005D5F89" w:rsidRPr="005D5F89" w:rsidRDefault="005D5F89" w:rsidP="005D5F89">
            <w:pPr>
              <w:pStyle w:val="NoSpacing"/>
              <w:rPr>
                <w:color w:val="000000"/>
                <w:sz w:val="18"/>
                <w:szCs w:val="18"/>
              </w:rPr>
            </w:pPr>
            <w:r w:rsidRPr="005D5F89">
              <w:rPr>
                <w:b/>
                <w:color w:val="000000"/>
                <w:sz w:val="18"/>
                <w:szCs w:val="18"/>
              </w:rPr>
              <w:t>National Quality Framework (NQF)</w:t>
            </w:r>
            <w:r w:rsidRPr="005D5F89">
              <w:rPr>
                <w:color w:val="000000"/>
                <w:sz w:val="18"/>
                <w:szCs w:val="18"/>
              </w:rPr>
              <w:t xml:space="preserve"> - http://acecqa.gov.au/national-quality-framework/</w:t>
            </w:r>
          </w:p>
          <w:p w14:paraId="55026A3C" w14:textId="77777777" w:rsidR="007336B3" w:rsidRPr="005D5F89" w:rsidRDefault="007336B3" w:rsidP="005D5F89">
            <w:pPr>
              <w:pStyle w:val="NoSpacing"/>
              <w:rPr>
                <w:rFonts w:cs="Arial"/>
                <w:b/>
                <w:spacing w:val="-3"/>
                <w:sz w:val="18"/>
                <w:szCs w:val="18"/>
              </w:rPr>
            </w:pPr>
            <w:proofErr w:type="spellStart"/>
            <w:r w:rsidRPr="005D5F89">
              <w:rPr>
                <w:rFonts w:cs="Arial"/>
                <w:b/>
                <w:spacing w:val="-3"/>
                <w:sz w:val="18"/>
                <w:szCs w:val="18"/>
              </w:rPr>
              <w:t>Anti Discrimination</w:t>
            </w:r>
            <w:proofErr w:type="spellEnd"/>
            <w:r w:rsidRPr="005D5F89">
              <w:rPr>
                <w:rFonts w:cs="Arial"/>
                <w:b/>
                <w:spacing w:val="-3"/>
                <w:sz w:val="18"/>
                <w:szCs w:val="18"/>
              </w:rPr>
              <w:t xml:space="preserve"> Act 1977</w:t>
            </w:r>
          </w:p>
          <w:p w14:paraId="58B269BF" w14:textId="77777777" w:rsidR="007336B3" w:rsidRPr="005D5F89" w:rsidRDefault="007336B3" w:rsidP="005D5F89">
            <w:pPr>
              <w:pStyle w:val="NoSpacing"/>
              <w:rPr>
                <w:rFonts w:cs="Arial"/>
                <w:b/>
                <w:sz w:val="18"/>
                <w:szCs w:val="18"/>
              </w:rPr>
            </w:pPr>
            <w:r w:rsidRPr="005D5F89">
              <w:rPr>
                <w:rFonts w:cs="Arial"/>
                <w:b/>
                <w:sz w:val="18"/>
                <w:szCs w:val="18"/>
              </w:rPr>
              <w:t xml:space="preserve">Early Childhood Australia </w:t>
            </w:r>
            <w:hyperlink r:id="rId7" w:history="1">
              <w:r w:rsidRPr="005D5F89">
                <w:rPr>
                  <w:rStyle w:val="Hyperlink"/>
                  <w:rFonts w:asciiTheme="minorHAnsi" w:hAnsiTheme="minorHAnsi" w:cs="Arial"/>
                  <w:b/>
                  <w:sz w:val="18"/>
                  <w:szCs w:val="18"/>
                </w:rPr>
                <w:t>www.earlychildhoodaustralia.org.au</w:t>
              </w:r>
            </w:hyperlink>
            <w:r w:rsidRPr="005D5F89">
              <w:rPr>
                <w:rFonts w:cs="Arial"/>
                <w:b/>
                <w:sz w:val="18"/>
                <w:szCs w:val="18"/>
              </w:rPr>
              <w:t xml:space="preserve"> </w:t>
            </w:r>
          </w:p>
          <w:p w14:paraId="4F8F9815" w14:textId="4AC71D6E" w:rsidR="006724DB" w:rsidRPr="005D5F89" w:rsidRDefault="007336B3" w:rsidP="005D5F89">
            <w:pPr>
              <w:pStyle w:val="NoSpacing"/>
              <w:rPr>
                <w:b/>
                <w:sz w:val="18"/>
                <w:szCs w:val="18"/>
              </w:rPr>
            </w:pPr>
            <w:r w:rsidRPr="005D5F89">
              <w:rPr>
                <w:rFonts w:cs="Arial"/>
                <w:b/>
                <w:sz w:val="18"/>
                <w:szCs w:val="18"/>
              </w:rPr>
              <w:t xml:space="preserve">KU </w:t>
            </w:r>
            <w:proofErr w:type="spellStart"/>
            <w:r w:rsidRPr="005D5F89">
              <w:rPr>
                <w:rFonts w:cs="Arial"/>
                <w:b/>
                <w:sz w:val="18"/>
                <w:szCs w:val="18"/>
              </w:rPr>
              <w:t>Childrens</w:t>
            </w:r>
            <w:proofErr w:type="spellEnd"/>
            <w:r w:rsidRPr="005D5F89">
              <w:rPr>
                <w:rFonts w:cs="Arial"/>
                <w:b/>
                <w:sz w:val="18"/>
                <w:szCs w:val="18"/>
              </w:rPr>
              <w:t xml:space="preserve"> Services Inclusion Support  </w:t>
            </w:r>
            <w:r w:rsidR="00D20F7C" w:rsidRPr="00D20F7C">
              <w:t>https://inclusionagencynswact.org.au/</w:t>
            </w:r>
          </w:p>
        </w:tc>
      </w:tr>
      <w:tr w:rsidR="005D5F89" w:rsidRPr="005D5F89" w14:paraId="03D72114" w14:textId="77777777" w:rsidTr="005D5F89">
        <w:tc>
          <w:tcPr>
            <w:tcW w:w="9642" w:type="dxa"/>
            <w:gridSpan w:val="5"/>
            <w:tcBorders>
              <w:top w:val="single" w:sz="4" w:space="0" w:color="auto"/>
              <w:bottom w:val="single" w:sz="4" w:space="0" w:color="auto"/>
            </w:tcBorders>
          </w:tcPr>
          <w:p w14:paraId="00968843" w14:textId="77777777" w:rsidR="005D5F89" w:rsidRPr="005D5F89" w:rsidRDefault="005D5F89" w:rsidP="005D5F89">
            <w:pPr>
              <w:pStyle w:val="NoSpacing"/>
              <w:rPr>
                <w:b/>
                <w:sz w:val="18"/>
                <w:szCs w:val="18"/>
              </w:rPr>
            </w:pPr>
            <w:r w:rsidRPr="005D5F89">
              <w:rPr>
                <w:b/>
                <w:sz w:val="18"/>
                <w:szCs w:val="18"/>
              </w:rPr>
              <w:t>REVIEW</w:t>
            </w:r>
          </w:p>
          <w:p w14:paraId="431E7E11" w14:textId="29F61E06" w:rsidR="005D5F89" w:rsidRPr="005D5F89" w:rsidRDefault="005D5F89" w:rsidP="005D5F89">
            <w:pPr>
              <w:pStyle w:val="NoSpacing"/>
              <w:rPr>
                <w:sz w:val="18"/>
                <w:szCs w:val="18"/>
              </w:rPr>
            </w:pPr>
            <w:r w:rsidRPr="005D5F89">
              <w:rPr>
                <w:rFonts w:cs="Arial"/>
                <w:sz w:val="18"/>
                <w:szCs w:val="18"/>
              </w:rPr>
              <w:t xml:space="preserve">This policy will be updated to ensure compliance with all relevant legal requirements every year. Appropriate consultation of all stakeholders (including staff and families) will be conducted on a timely basis. In accordance with Regulation 172 of the </w:t>
            </w:r>
            <w:r w:rsidRPr="005D5F89">
              <w:rPr>
                <w:rFonts w:cs="Arial"/>
                <w:i/>
                <w:sz w:val="18"/>
                <w:szCs w:val="18"/>
              </w:rPr>
              <w:t>Education and Care Services National Regulation</w:t>
            </w:r>
            <w:r w:rsidRPr="005D5F89">
              <w:rPr>
                <w:rFonts w:cs="Arial"/>
                <w:sz w:val="18"/>
                <w:szCs w:val="18"/>
              </w:rPr>
              <w:t>, families of children enrolled will be notified at least 14 days and their input considered prior to any amendment of policies and procedures that have any impact on their children or family.</w:t>
            </w:r>
          </w:p>
        </w:tc>
      </w:tr>
      <w:tr w:rsidR="005D5F89" w:rsidRPr="005D5F89" w14:paraId="20E50F3F" w14:textId="77777777" w:rsidTr="005D5F89">
        <w:tc>
          <w:tcPr>
            <w:tcW w:w="2692" w:type="dxa"/>
            <w:tcBorders>
              <w:top w:val="single" w:sz="4" w:space="0" w:color="auto"/>
              <w:bottom w:val="single" w:sz="4" w:space="0" w:color="auto"/>
              <w:right w:val="single" w:sz="4" w:space="0" w:color="auto"/>
            </w:tcBorders>
          </w:tcPr>
          <w:p w14:paraId="3220AF61" w14:textId="77777777" w:rsidR="006724DB" w:rsidRPr="005D5F89" w:rsidRDefault="006724DB" w:rsidP="009F649F">
            <w:pPr>
              <w:spacing w:before="100" w:after="100"/>
              <w:rPr>
                <w:rFonts w:asciiTheme="minorHAnsi" w:hAnsiTheme="minorHAnsi"/>
                <w:b/>
                <w:sz w:val="18"/>
                <w:szCs w:val="18"/>
              </w:rPr>
            </w:pPr>
            <w:r w:rsidRPr="005D5F89">
              <w:rPr>
                <w:rFonts w:asciiTheme="minorHAnsi" w:hAnsiTheme="minorHAnsi"/>
                <w:b/>
                <w:sz w:val="18"/>
                <w:szCs w:val="18"/>
              </w:rPr>
              <w:t>Date Issued:</w:t>
            </w:r>
          </w:p>
        </w:tc>
        <w:tc>
          <w:tcPr>
            <w:tcW w:w="2191" w:type="dxa"/>
            <w:gridSpan w:val="2"/>
            <w:tcBorders>
              <w:top w:val="single" w:sz="4" w:space="0" w:color="auto"/>
              <w:left w:val="single" w:sz="4" w:space="0" w:color="auto"/>
              <w:bottom w:val="single" w:sz="4" w:space="0" w:color="auto"/>
              <w:right w:val="single" w:sz="4" w:space="0" w:color="auto"/>
            </w:tcBorders>
          </w:tcPr>
          <w:p w14:paraId="2AF4F21C" w14:textId="62DA2665" w:rsidR="006724DB" w:rsidRPr="005D5F89" w:rsidRDefault="00D20F7C" w:rsidP="009F649F">
            <w:pPr>
              <w:spacing w:before="100" w:after="100"/>
              <w:rPr>
                <w:rFonts w:asciiTheme="minorHAnsi" w:hAnsiTheme="minorHAnsi"/>
                <w:bCs/>
                <w:sz w:val="18"/>
                <w:szCs w:val="18"/>
              </w:rPr>
            </w:pPr>
            <w:r>
              <w:rPr>
                <w:rFonts w:cs="Arial"/>
                <w:sz w:val="20"/>
                <w:szCs w:val="20"/>
              </w:rPr>
              <w:t>January 2025</w:t>
            </w:r>
          </w:p>
        </w:tc>
        <w:tc>
          <w:tcPr>
            <w:tcW w:w="2775" w:type="dxa"/>
            <w:tcBorders>
              <w:top w:val="single" w:sz="4" w:space="0" w:color="auto"/>
              <w:left w:val="single" w:sz="4" w:space="0" w:color="auto"/>
              <w:bottom w:val="single" w:sz="4" w:space="0" w:color="auto"/>
              <w:right w:val="single" w:sz="4" w:space="0" w:color="auto"/>
            </w:tcBorders>
          </w:tcPr>
          <w:p w14:paraId="11F8D5CB" w14:textId="77777777" w:rsidR="006724DB" w:rsidRPr="005D5F89" w:rsidRDefault="006724DB" w:rsidP="009F649F">
            <w:pPr>
              <w:spacing w:before="100" w:after="100"/>
              <w:rPr>
                <w:rFonts w:asciiTheme="minorHAnsi" w:hAnsiTheme="minorHAnsi"/>
                <w:b/>
                <w:sz w:val="18"/>
                <w:szCs w:val="18"/>
              </w:rPr>
            </w:pPr>
            <w:r w:rsidRPr="005D5F89">
              <w:rPr>
                <w:rFonts w:asciiTheme="minorHAnsi" w:hAnsiTheme="minorHAnsi"/>
                <w:b/>
                <w:sz w:val="18"/>
                <w:szCs w:val="18"/>
              </w:rPr>
              <w:t>Review Date:</w:t>
            </w:r>
          </w:p>
        </w:tc>
        <w:tc>
          <w:tcPr>
            <w:tcW w:w="1984" w:type="dxa"/>
            <w:tcBorders>
              <w:top w:val="single" w:sz="4" w:space="0" w:color="auto"/>
              <w:left w:val="single" w:sz="4" w:space="0" w:color="auto"/>
              <w:bottom w:val="single" w:sz="4" w:space="0" w:color="auto"/>
            </w:tcBorders>
          </w:tcPr>
          <w:p w14:paraId="122E9A60" w14:textId="1CF3F542" w:rsidR="006724DB" w:rsidRPr="005D5F89" w:rsidRDefault="00D20F7C" w:rsidP="009F649F">
            <w:pPr>
              <w:spacing w:before="100" w:after="100"/>
              <w:rPr>
                <w:rFonts w:asciiTheme="minorHAnsi" w:hAnsiTheme="minorHAnsi"/>
                <w:bCs/>
                <w:sz w:val="18"/>
                <w:szCs w:val="18"/>
              </w:rPr>
            </w:pPr>
            <w:r>
              <w:rPr>
                <w:rFonts w:cs="Arial"/>
                <w:sz w:val="20"/>
                <w:szCs w:val="20"/>
              </w:rPr>
              <w:t>January 2026</w:t>
            </w:r>
          </w:p>
        </w:tc>
      </w:tr>
      <w:tr w:rsidR="0056779A" w:rsidRPr="005D5F89" w14:paraId="22CD0E44" w14:textId="77777777" w:rsidTr="005D5F89">
        <w:tc>
          <w:tcPr>
            <w:tcW w:w="2692" w:type="dxa"/>
            <w:tcBorders>
              <w:top w:val="single" w:sz="4" w:space="0" w:color="auto"/>
              <w:bottom w:val="single" w:sz="4" w:space="0" w:color="auto"/>
              <w:right w:val="single" w:sz="4" w:space="0" w:color="auto"/>
            </w:tcBorders>
          </w:tcPr>
          <w:p w14:paraId="3CF831E7" w14:textId="77777777" w:rsidR="0056779A" w:rsidRPr="005D5F89" w:rsidRDefault="0056779A" w:rsidP="009F649F">
            <w:pPr>
              <w:spacing w:before="100" w:after="100"/>
              <w:rPr>
                <w:rFonts w:asciiTheme="minorHAnsi" w:hAnsiTheme="minorHAnsi"/>
                <w:b/>
                <w:sz w:val="18"/>
                <w:szCs w:val="18"/>
              </w:rPr>
            </w:pPr>
          </w:p>
        </w:tc>
        <w:tc>
          <w:tcPr>
            <w:tcW w:w="2191" w:type="dxa"/>
            <w:gridSpan w:val="2"/>
            <w:tcBorders>
              <w:top w:val="single" w:sz="4" w:space="0" w:color="auto"/>
              <w:left w:val="single" w:sz="4" w:space="0" w:color="auto"/>
              <w:bottom w:val="single" w:sz="4" w:space="0" w:color="auto"/>
              <w:right w:val="single" w:sz="4" w:space="0" w:color="auto"/>
            </w:tcBorders>
          </w:tcPr>
          <w:p w14:paraId="189F3121" w14:textId="77777777" w:rsidR="0056779A" w:rsidRDefault="0056779A" w:rsidP="009F649F">
            <w:pPr>
              <w:spacing w:before="100" w:after="100"/>
              <w:rPr>
                <w:rFonts w:cs="Arial"/>
                <w:sz w:val="20"/>
                <w:szCs w:val="20"/>
              </w:rPr>
            </w:pPr>
          </w:p>
        </w:tc>
        <w:tc>
          <w:tcPr>
            <w:tcW w:w="2775" w:type="dxa"/>
            <w:tcBorders>
              <w:top w:val="single" w:sz="4" w:space="0" w:color="auto"/>
              <w:left w:val="single" w:sz="4" w:space="0" w:color="auto"/>
              <w:bottom w:val="single" w:sz="4" w:space="0" w:color="auto"/>
              <w:right w:val="single" w:sz="4" w:space="0" w:color="auto"/>
            </w:tcBorders>
          </w:tcPr>
          <w:p w14:paraId="2E2C7A08" w14:textId="77777777" w:rsidR="0056779A" w:rsidRPr="005D5F89" w:rsidRDefault="0056779A" w:rsidP="009F649F">
            <w:pPr>
              <w:spacing w:before="100" w:after="100"/>
              <w:rPr>
                <w:rFonts w:asciiTheme="minorHAnsi" w:hAnsiTheme="minorHAnsi"/>
                <w:b/>
                <w:sz w:val="18"/>
                <w:szCs w:val="18"/>
              </w:rPr>
            </w:pPr>
          </w:p>
        </w:tc>
        <w:tc>
          <w:tcPr>
            <w:tcW w:w="1984" w:type="dxa"/>
            <w:tcBorders>
              <w:top w:val="single" w:sz="4" w:space="0" w:color="auto"/>
              <w:left w:val="single" w:sz="4" w:space="0" w:color="auto"/>
              <w:bottom w:val="single" w:sz="4" w:space="0" w:color="auto"/>
            </w:tcBorders>
          </w:tcPr>
          <w:p w14:paraId="7B5263D6" w14:textId="77777777" w:rsidR="0056779A" w:rsidRDefault="0056779A" w:rsidP="009F649F">
            <w:pPr>
              <w:spacing w:before="100" w:after="100"/>
              <w:rPr>
                <w:rFonts w:cs="Arial"/>
                <w:sz w:val="20"/>
                <w:szCs w:val="20"/>
              </w:rPr>
            </w:pPr>
          </w:p>
        </w:tc>
      </w:tr>
      <w:tr w:rsidR="005D5F89" w:rsidRPr="005D5F89" w14:paraId="7637BA24" w14:textId="77777777" w:rsidTr="005D5F89">
        <w:tc>
          <w:tcPr>
            <w:tcW w:w="4864" w:type="dxa"/>
            <w:gridSpan w:val="2"/>
            <w:tcBorders>
              <w:top w:val="single" w:sz="4" w:space="0" w:color="auto"/>
              <w:bottom w:val="single" w:sz="4" w:space="0" w:color="auto"/>
              <w:right w:val="single" w:sz="4" w:space="0" w:color="auto"/>
            </w:tcBorders>
            <w:shd w:val="clear" w:color="auto" w:fill="000000" w:themeFill="text1"/>
          </w:tcPr>
          <w:p w14:paraId="318E00FC" w14:textId="3B9048E2" w:rsidR="005D5F89" w:rsidRPr="005D5F89" w:rsidRDefault="005D5F89" w:rsidP="005D5F89">
            <w:pPr>
              <w:pStyle w:val="NoSpacing"/>
              <w:rPr>
                <w:bCs/>
                <w:sz w:val="18"/>
                <w:szCs w:val="18"/>
              </w:rPr>
            </w:pPr>
            <w:r w:rsidRPr="005D5F89">
              <w:rPr>
                <w:sz w:val="18"/>
                <w:szCs w:val="18"/>
              </w:rPr>
              <w:t>Amendment</w:t>
            </w:r>
          </w:p>
        </w:tc>
        <w:tc>
          <w:tcPr>
            <w:tcW w:w="4778" w:type="dxa"/>
            <w:gridSpan w:val="3"/>
            <w:tcBorders>
              <w:top w:val="single" w:sz="4" w:space="0" w:color="auto"/>
              <w:left w:val="single" w:sz="4" w:space="0" w:color="auto"/>
              <w:bottom w:val="single" w:sz="4" w:space="0" w:color="auto"/>
            </w:tcBorders>
          </w:tcPr>
          <w:p w14:paraId="79A966A8" w14:textId="77777777" w:rsidR="005D5F89" w:rsidRPr="005D5F89" w:rsidRDefault="005D5F89" w:rsidP="005D5F89">
            <w:pPr>
              <w:pStyle w:val="NoSpacing"/>
              <w:rPr>
                <w:bCs/>
                <w:sz w:val="18"/>
                <w:szCs w:val="18"/>
              </w:rPr>
            </w:pPr>
            <w:r w:rsidRPr="005D5F89">
              <w:rPr>
                <w:bCs/>
                <w:sz w:val="18"/>
                <w:szCs w:val="18"/>
              </w:rPr>
              <w:t>Corrected grammatical errors</w:t>
            </w:r>
          </w:p>
          <w:p w14:paraId="3C146A1D" w14:textId="5438EFCD" w:rsidR="005D5F89" w:rsidRPr="005D5F89" w:rsidRDefault="005D5F89" w:rsidP="005D5F89">
            <w:pPr>
              <w:pStyle w:val="NoSpacing"/>
              <w:rPr>
                <w:bCs/>
                <w:sz w:val="18"/>
                <w:szCs w:val="18"/>
              </w:rPr>
            </w:pPr>
            <w:r w:rsidRPr="005D5F89">
              <w:rPr>
                <w:bCs/>
                <w:sz w:val="18"/>
                <w:szCs w:val="18"/>
              </w:rPr>
              <w:t>Web links updated</w:t>
            </w:r>
          </w:p>
        </w:tc>
      </w:tr>
    </w:tbl>
    <w:p w14:paraId="0E86AA79" w14:textId="72D443C6" w:rsidR="006724DB" w:rsidRPr="00317ECB" w:rsidRDefault="006724DB" w:rsidP="008B78E2">
      <w:pPr>
        <w:rPr>
          <w:rFonts w:asciiTheme="minorHAnsi" w:hAnsiTheme="minorHAnsi"/>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D724A" w:rsidRPr="00317ECB" w14:paraId="7707588C" w14:textId="77777777" w:rsidTr="00A115AD">
        <w:tc>
          <w:tcPr>
            <w:tcW w:w="9889" w:type="dxa"/>
            <w:tcBorders>
              <w:top w:val="single" w:sz="4" w:space="0" w:color="auto"/>
              <w:left w:val="single" w:sz="4" w:space="0" w:color="auto"/>
              <w:bottom w:val="single" w:sz="4" w:space="0" w:color="auto"/>
              <w:right w:val="single" w:sz="4" w:space="0" w:color="auto"/>
            </w:tcBorders>
            <w:vAlign w:val="center"/>
          </w:tcPr>
          <w:p w14:paraId="4A935AF6" w14:textId="77777777" w:rsidR="00317ECB" w:rsidRPr="00317ECB" w:rsidRDefault="00317ECB" w:rsidP="00317ECB">
            <w:pPr>
              <w:pStyle w:val="BodyText"/>
              <w:rPr>
                <w:rFonts w:asciiTheme="minorHAnsi" w:hAnsiTheme="minorHAnsi" w:cs="Arial"/>
                <w:snapToGrid w:val="0"/>
                <w:sz w:val="20"/>
              </w:rPr>
            </w:pPr>
            <w:r w:rsidRPr="00317ECB">
              <w:rPr>
                <w:rFonts w:asciiTheme="minorHAnsi" w:hAnsiTheme="minorHAnsi" w:cs="Arial"/>
                <w:snapToGrid w:val="0"/>
                <w:sz w:val="20"/>
              </w:rPr>
              <w:t>Family, Educator and Staff Comments:</w:t>
            </w:r>
          </w:p>
          <w:p w14:paraId="2FFD3415" w14:textId="1DA4440F" w:rsidR="000D724A" w:rsidRPr="00317ECB" w:rsidRDefault="000D724A" w:rsidP="00417C78">
            <w:pPr>
              <w:pStyle w:val="BodyText"/>
              <w:rPr>
                <w:rFonts w:asciiTheme="minorHAnsi" w:hAnsiTheme="minorHAnsi"/>
                <w:sz w:val="20"/>
              </w:rPr>
            </w:pPr>
          </w:p>
          <w:p w14:paraId="36BE3E01" w14:textId="77777777" w:rsidR="000D724A" w:rsidRPr="00317ECB" w:rsidRDefault="000D724A" w:rsidP="00417C78">
            <w:pPr>
              <w:pStyle w:val="BodyText"/>
              <w:rPr>
                <w:rFonts w:asciiTheme="minorHAnsi" w:hAnsiTheme="minorHAnsi"/>
                <w:sz w:val="20"/>
              </w:rPr>
            </w:pPr>
          </w:p>
          <w:p w14:paraId="3B5D6DDA" w14:textId="77777777" w:rsidR="000D724A" w:rsidRDefault="000D724A" w:rsidP="00417C78">
            <w:pPr>
              <w:pStyle w:val="BodyText"/>
              <w:rPr>
                <w:rFonts w:asciiTheme="minorHAnsi" w:hAnsiTheme="minorHAnsi"/>
                <w:sz w:val="20"/>
              </w:rPr>
            </w:pPr>
          </w:p>
          <w:p w14:paraId="2099C92D" w14:textId="77777777" w:rsidR="00317ECB" w:rsidRPr="00317ECB" w:rsidRDefault="00317ECB" w:rsidP="00417C78">
            <w:pPr>
              <w:pStyle w:val="BodyText"/>
              <w:rPr>
                <w:rFonts w:asciiTheme="minorHAnsi" w:hAnsiTheme="minorHAnsi"/>
                <w:sz w:val="20"/>
              </w:rPr>
            </w:pPr>
          </w:p>
          <w:p w14:paraId="6CD3A8B7" w14:textId="77777777" w:rsidR="000D724A" w:rsidRDefault="000D724A" w:rsidP="00417C78">
            <w:pPr>
              <w:pStyle w:val="BodyText"/>
              <w:rPr>
                <w:rFonts w:asciiTheme="minorHAnsi" w:hAnsiTheme="minorHAnsi"/>
                <w:sz w:val="20"/>
              </w:rPr>
            </w:pPr>
          </w:p>
          <w:p w14:paraId="27546277" w14:textId="77777777" w:rsidR="005D5F89" w:rsidRDefault="005D5F89" w:rsidP="00417C78">
            <w:pPr>
              <w:pStyle w:val="BodyText"/>
              <w:rPr>
                <w:rFonts w:asciiTheme="minorHAnsi" w:hAnsiTheme="minorHAnsi"/>
                <w:sz w:val="20"/>
              </w:rPr>
            </w:pPr>
          </w:p>
          <w:p w14:paraId="6B5244A5" w14:textId="77777777" w:rsidR="005D5F89" w:rsidRDefault="005D5F89" w:rsidP="00417C78">
            <w:pPr>
              <w:pStyle w:val="BodyText"/>
              <w:rPr>
                <w:rFonts w:asciiTheme="minorHAnsi" w:hAnsiTheme="minorHAnsi"/>
                <w:sz w:val="20"/>
              </w:rPr>
            </w:pPr>
          </w:p>
          <w:p w14:paraId="4E2070D7" w14:textId="77777777" w:rsidR="005D5F89" w:rsidRDefault="005D5F89" w:rsidP="00417C78">
            <w:pPr>
              <w:pStyle w:val="BodyText"/>
              <w:rPr>
                <w:rFonts w:asciiTheme="minorHAnsi" w:hAnsiTheme="minorHAnsi"/>
                <w:sz w:val="20"/>
              </w:rPr>
            </w:pPr>
          </w:p>
          <w:p w14:paraId="4D95CE88" w14:textId="77777777" w:rsidR="005D5F89" w:rsidRDefault="005D5F89" w:rsidP="00417C78">
            <w:pPr>
              <w:pStyle w:val="BodyText"/>
              <w:rPr>
                <w:rFonts w:asciiTheme="minorHAnsi" w:hAnsiTheme="minorHAnsi"/>
                <w:sz w:val="20"/>
              </w:rPr>
            </w:pPr>
          </w:p>
          <w:p w14:paraId="07211CDD" w14:textId="77777777" w:rsidR="005D5F89" w:rsidRDefault="005D5F89" w:rsidP="00417C78">
            <w:pPr>
              <w:pStyle w:val="BodyText"/>
              <w:rPr>
                <w:rFonts w:asciiTheme="minorHAnsi" w:hAnsiTheme="minorHAnsi"/>
                <w:sz w:val="20"/>
              </w:rPr>
            </w:pPr>
          </w:p>
          <w:p w14:paraId="1C5CFB84" w14:textId="77777777" w:rsidR="005D5F89" w:rsidRPr="00317ECB" w:rsidRDefault="005D5F89" w:rsidP="00417C78">
            <w:pPr>
              <w:pStyle w:val="BodyText"/>
              <w:rPr>
                <w:rFonts w:asciiTheme="minorHAnsi" w:hAnsiTheme="minorHAnsi"/>
                <w:sz w:val="20"/>
              </w:rPr>
            </w:pPr>
          </w:p>
          <w:p w14:paraId="1DC3AE6D" w14:textId="77777777" w:rsidR="000D724A" w:rsidRPr="00317ECB" w:rsidRDefault="000D724A" w:rsidP="00417C78">
            <w:pPr>
              <w:pStyle w:val="BodyText"/>
              <w:rPr>
                <w:rFonts w:asciiTheme="minorHAnsi" w:hAnsiTheme="minorHAnsi"/>
                <w:sz w:val="20"/>
              </w:rPr>
            </w:pPr>
          </w:p>
        </w:tc>
      </w:tr>
    </w:tbl>
    <w:p w14:paraId="5F469B7A" w14:textId="77777777" w:rsidR="006724DB" w:rsidRPr="006807BE" w:rsidRDefault="006724DB" w:rsidP="008B78E2">
      <w:pPr>
        <w:pStyle w:val="Heading2"/>
        <w:rPr>
          <w:rFonts w:ascii="Calibri" w:hAnsi="Calibri"/>
        </w:rPr>
      </w:pPr>
    </w:p>
    <w:p w14:paraId="32C78803" w14:textId="77777777" w:rsidR="006724DB" w:rsidRDefault="006724DB"/>
    <w:sectPr w:rsidR="006724DB" w:rsidSect="009F649F">
      <w:footerReference w:type="even" r:id="rId8"/>
      <w:footerReference w:type="default" r:id="rId9"/>
      <w:pgSz w:w="11906" w:h="16838"/>
      <w:pgMar w:top="1134" w:right="1134" w:bottom="284" w:left="1134" w:header="14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21B9" w14:textId="77777777" w:rsidR="00964998" w:rsidRDefault="00964998" w:rsidP="009A3F6C">
      <w:pPr>
        <w:spacing w:after="0" w:line="240" w:lineRule="auto"/>
      </w:pPr>
      <w:r>
        <w:separator/>
      </w:r>
    </w:p>
  </w:endnote>
  <w:endnote w:type="continuationSeparator" w:id="0">
    <w:p w14:paraId="4B0557C9" w14:textId="77777777" w:rsidR="00964998" w:rsidRDefault="00964998" w:rsidP="009A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ourier New"/>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5470724"/>
      <w:docPartObj>
        <w:docPartGallery w:val="Page Numbers (Bottom of Page)"/>
        <w:docPartUnique/>
      </w:docPartObj>
    </w:sdtPr>
    <w:sdtContent>
      <w:p w14:paraId="4AFB59E1" w14:textId="3E02F205" w:rsidR="0056779A" w:rsidRDefault="0056779A" w:rsidP="006F17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2A473B" w14:textId="77777777" w:rsidR="0056779A" w:rsidRDefault="00567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8245312"/>
      <w:docPartObj>
        <w:docPartGallery w:val="Page Numbers (Bottom of Page)"/>
        <w:docPartUnique/>
      </w:docPartObj>
    </w:sdtPr>
    <w:sdtContent>
      <w:p w14:paraId="65AB73C0" w14:textId="16FD5F1F" w:rsidR="0056779A" w:rsidRDefault="0056779A" w:rsidP="006F17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468D25" w14:textId="74042E16" w:rsidR="00523648" w:rsidRPr="00317ECB" w:rsidRDefault="00523648" w:rsidP="009F649F">
    <w:pPr>
      <w:pStyle w:val="Footer"/>
    </w:pPr>
    <w:r w:rsidRPr="00317ECB">
      <w:t xml:space="preserve">KAZ </w:t>
    </w:r>
    <w:r w:rsidR="00317ECB" w:rsidRPr="00317ECB">
      <w:t>ELC Policies</w:t>
    </w:r>
    <w:r w:rsidR="00317ECB" w:rsidRPr="00317ECB">
      <w:tab/>
    </w:r>
    <w:r w:rsidR="00317ECB" w:rsidRPr="00317ECB">
      <w:tab/>
      <w:t xml:space="preserve"> </w:t>
    </w:r>
    <w:r w:rsidRPr="00317ECB">
      <w:t xml:space="preserve">Inclusion, Anti-bias and Diversity </w:t>
    </w:r>
  </w:p>
  <w:p w14:paraId="73A1BDE6" w14:textId="77777777" w:rsidR="00523648" w:rsidRPr="00477F86" w:rsidRDefault="00523648" w:rsidP="009F649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8CCD" w14:textId="77777777" w:rsidR="00964998" w:rsidRDefault="00964998" w:rsidP="009A3F6C">
      <w:pPr>
        <w:spacing w:after="0" w:line="240" w:lineRule="auto"/>
      </w:pPr>
      <w:r>
        <w:separator/>
      </w:r>
    </w:p>
  </w:footnote>
  <w:footnote w:type="continuationSeparator" w:id="0">
    <w:p w14:paraId="55671898" w14:textId="77777777" w:rsidR="00964998" w:rsidRDefault="00964998" w:rsidP="009A3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E2"/>
    <w:rsid w:val="000C70C4"/>
    <w:rsid w:val="000D724A"/>
    <w:rsid w:val="001A6FEB"/>
    <w:rsid w:val="002200D5"/>
    <w:rsid w:val="002770A9"/>
    <w:rsid w:val="002D1404"/>
    <w:rsid w:val="002D2F1F"/>
    <w:rsid w:val="00317ECB"/>
    <w:rsid w:val="003D0609"/>
    <w:rsid w:val="00477F86"/>
    <w:rsid w:val="00515B90"/>
    <w:rsid w:val="00523648"/>
    <w:rsid w:val="0056779A"/>
    <w:rsid w:val="005D5F89"/>
    <w:rsid w:val="006602A1"/>
    <w:rsid w:val="006724DB"/>
    <w:rsid w:val="006763E0"/>
    <w:rsid w:val="006807BE"/>
    <w:rsid w:val="006D4D9E"/>
    <w:rsid w:val="007336B3"/>
    <w:rsid w:val="007A21DA"/>
    <w:rsid w:val="008B78E2"/>
    <w:rsid w:val="008C42EE"/>
    <w:rsid w:val="008F317B"/>
    <w:rsid w:val="00964998"/>
    <w:rsid w:val="009A3F6C"/>
    <w:rsid w:val="009F649F"/>
    <w:rsid w:val="00B014AC"/>
    <w:rsid w:val="00B173CB"/>
    <w:rsid w:val="00BF44C7"/>
    <w:rsid w:val="00CD4517"/>
    <w:rsid w:val="00D20F7C"/>
    <w:rsid w:val="00D4323D"/>
    <w:rsid w:val="00D7115D"/>
    <w:rsid w:val="00D7754E"/>
    <w:rsid w:val="00DF56D5"/>
    <w:rsid w:val="00F24CC7"/>
    <w:rsid w:val="00F605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28B4B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AU"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78E2"/>
    <w:pPr>
      <w:spacing w:after="200" w:line="276" w:lineRule="auto"/>
    </w:pPr>
    <w:rPr>
      <w:rFonts w:ascii="Calibri" w:eastAsia="PMingLiU" w:hAnsi="Calibri"/>
    </w:rPr>
  </w:style>
  <w:style w:type="paragraph" w:styleId="Heading1">
    <w:name w:val="heading 1"/>
    <w:basedOn w:val="Normal"/>
    <w:next w:val="Normal"/>
    <w:link w:val="Heading1Char"/>
    <w:qFormat/>
    <w:locked/>
    <w:rsid w:val="000D724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B78E2"/>
    <w:pPr>
      <w:keepNext/>
      <w:spacing w:after="0" w:line="240" w:lineRule="auto"/>
      <w:outlineLvl w:val="1"/>
    </w:pPr>
    <w:rPr>
      <w:rFonts w:ascii="Univers 45 Light" w:eastAsia="Times New Roman" w:hAnsi="Univers 45 Light"/>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B78E2"/>
    <w:rPr>
      <w:rFonts w:ascii="Univers 45 Light" w:hAnsi="Univers 45 Light" w:cs="Times New Roman"/>
      <w:b/>
      <w:bCs/>
      <w:sz w:val="22"/>
      <w:lang w:val="en-AU"/>
    </w:rPr>
  </w:style>
  <w:style w:type="paragraph" w:styleId="Footer">
    <w:name w:val="footer"/>
    <w:basedOn w:val="Normal"/>
    <w:link w:val="FooterChar"/>
    <w:uiPriority w:val="99"/>
    <w:rsid w:val="008B78E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B78E2"/>
    <w:rPr>
      <w:rFonts w:ascii="Calibri" w:eastAsia="PMingLiU" w:hAnsi="Calibri" w:cs="Times New Roman"/>
      <w:sz w:val="22"/>
      <w:szCs w:val="22"/>
      <w:lang w:val="en-AU" w:eastAsia="zh-TW"/>
    </w:rPr>
  </w:style>
  <w:style w:type="paragraph" w:styleId="PlainText">
    <w:name w:val="Plain Text"/>
    <w:basedOn w:val="Normal"/>
    <w:link w:val="PlainTextChar"/>
    <w:uiPriority w:val="99"/>
    <w:rsid w:val="008B78E2"/>
    <w:pPr>
      <w:spacing w:after="0" w:line="240" w:lineRule="auto"/>
    </w:pPr>
    <w:rPr>
      <w:rFonts w:ascii="Courier New" w:eastAsia="Times New Roman" w:hAnsi="Courier New"/>
      <w:sz w:val="20"/>
      <w:szCs w:val="20"/>
      <w:lang w:eastAsia="en-US"/>
    </w:rPr>
  </w:style>
  <w:style w:type="character" w:customStyle="1" w:styleId="PlainTextChar">
    <w:name w:val="Plain Text Char"/>
    <w:basedOn w:val="DefaultParagraphFont"/>
    <w:link w:val="PlainText"/>
    <w:uiPriority w:val="99"/>
    <w:locked/>
    <w:rsid w:val="008B78E2"/>
    <w:rPr>
      <w:rFonts w:ascii="Courier New" w:hAnsi="Courier New" w:cs="Times New Roman"/>
      <w:sz w:val="20"/>
      <w:szCs w:val="20"/>
      <w:lang w:val="en-AU"/>
    </w:rPr>
  </w:style>
  <w:style w:type="paragraph" w:styleId="Header">
    <w:name w:val="header"/>
    <w:basedOn w:val="Normal"/>
    <w:link w:val="HeaderChar"/>
    <w:uiPriority w:val="99"/>
    <w:semiHidden/>
    <w:rsid w:val="008B78E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8B78E2"/>
    <w:rPr>
      <w:rFonts w:ascii="Calibri" w:eastAsia="PMingLiU" w:hAnsi="Calibri" w:cs="Times New Roman"/>
      <w:sz w:val="22"/>
      <w:szCs w:val="22"/>
      <w:lang w:val="en-AU" w:eastAsia="zh-TW"/>
    </w:rPr>
  </w:style>
  <w:style w:type="character" w:styleId="Hyperlink">
    <w:name w:val="Hyperlink"/>
    <w:rsid w:val="007336B3"/>
    <w:rPr>
      <w:color w:val="0000FF"/>
      <w:u w:val="single"/>
    </w:rPr>
  </w:style>
  <w:style w:type="character" w:customStyle="1" w:styleId="Heading1Char">
    <w:name w:val="Heading 1 Char"/>
    <w:basedOn w:val="DefaultParagraphFont"/>
    <w:link w:val="Heading1"/>
    <w:rsid w:val="000D724A"/>
    <w:rPr>
      <w:rFonts w:asciiTheme="majorHAnsi" w:eastAsiaTheme="majorEastAsia" w:hAnsiTheme="majorHAnsi" w:cstheme="majorBidi"/>
      <w:b/>
      <w:bCs/>
      <w:kern w:val="32"/>
      <w:sz w:val="32"/>
      <w:szCs w:val="32"/>
    </w:rPr>
  </w:style>
  <w:style w:type="paragraph" w:styleId="BodyText">
    <w:name w:val="Body Text"/>
    <w:basedOn w:val="Normal"/>
    <w:link w:val="BodyTextChar"/>
    <w:rsid w:val="000D724A"/>
    <w:pPr>
      <w:spacing w:after="0" w:line="240" w:lineRule="auto"/>
    </w:pPr>
    <w:rPr>
      <w:rFonts w:ascii="Arial" w:eastAsia="Times New Roman" w:hAnsi="Arial"/>
      <w:sz w:val="24"/>
      <w:szCs w:val="20"/>
      <w:lang w:val="en-US" w:eastAsia="en-US"/>
    </w:rPr>
  </w:style>
  <w:style w:type="character" w:customStyle="1" w:styleId="BodyTextChar">
    <w:name w:val="Body Text Char"/>
    <w:basedOn w:val="DefaultParagraphFont"/>
    <w:link w:val="BodyText"/>
    <w:rsid w:val="000D724A"/>
    <w:rPr>
      <w:rFonts w:ascii="Arial" w:eastAsia="Times New Roman" w:hAnsi="Arial"/>
      <w:sz w:val="24"/>
      <w:szCs w:val="20"/>
      <w:lang w:val="en-US" w:eastAsia="en-US"/>
    </w:rPr>
  </w:style>
  <w:style w:type="paragraph" w:styleId="NoSpacing">
    <w:name w:val="No Spacing"/>
    <w:uiPriority w:val="1"/>
    <w:qFormat/>
    <w:rsid w:val="005D5F89"/>
    <w:rPr>
      <w:rFonts w:ascii="Calibri" w:eastAsia="PMingLiU" w:hAnsi="Calibri"/>
    </w:rPr>
  </w:style>
  <w:style w:type="character" w:styleId="UnresolvedMention">
    <w:name w:val="Unresolved Mention"/>
    <w:basedOn w:val="DefaultParagraphFont"/>
    <w:uiPriority w:val="99"/>
    <w:rsid w:val="00D20F7C"/>
    <w:rPr>
      <w:color w:val="605E5C"/>
      <w:shd w:val="clear" w:color="auto" w:fill="E1DFDD"/>
    </w:rPr>
  </w:style>
  <w:style w:type="character" w:styleId="PageNumber">
    <w:name w:val="page number"/>
    <w:basedOn w:val="DefaultParagraphFont"/>
    <w:uiPriority w:val="99"/>
    <w:semiHidden/>
    <w:unhideWhenUsed/>
    <w:rsid w:val="0056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arlychildhoodaustralia.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ecqa.gov.au/sites/default/files/2023-01/EYLF-2022-V2.0.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Inclusion, Anti-bias and Diversity Policy</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Anti-bias and Diversity Policy</dc:title>
  <dc:subject/>
  <dc:creator>Chris Nikolakopoulos</dc:creator>
  <cp:keywords/>
  <dc:description/>
  <cp:lastModifiedBy>Chris Nikolakopoulos</cp:lastModifiedBy>
  <cp:revision>4</cp:revision>
  <cp:lastPrinted>2025-01-10T12:18:00Z</cp:lastPrinted>
  <dcterms:created xsi:type="dcterms:W3CDTF">2025-01-08T11:43:00Z</dcterms:created>
  <dcterms:modified xsi:type="dcterms:W3CDTF">2025-01-10T12:19:00Z</dcterms:modified>
</cp:coreProperties>
</file>